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66C" w:rsidRPr="00DF666C" w:rsidRDefault="00DF666C" w:rsidP="00BD5433">
      <w:pPr>
        <w:pStyle w:val="a5"/>
        <w:spacing w:beforeLines="150" w:before="468" w:beforeAutospacing="0" w:afterLines="100" w:after="312" w:afterAutospacing="0" w:line="540" w:lineRule="exact"/>
        <w:ind w:rightChars="161" w:right="338" w:firstLineChars="101" w:firstLine="422"/>
        <w:jc w:val="center"/>
        <w:rPr>
          <w:rFonts w:asciiTheme="minorEastAsia" w:eastAsiaTheme="minorEastAsia" w:hAnsiTheme="minorEastAsia"/>
          <w:spacing w:val="8"/>
          <w:sz w:val="28"/>
          <w:szCs w:val="28"/>
        </w:rPr>
      </w:pPr>
      <w:bookmarkStart w:id="0" w:name="_GoBack"/>
      <w:bookmarkEnd w:id="0"/>
      <w:r w:rsidRPr="00DF666C">
        <w:rPr>
          <w:rStyle w:val="a6"/>
          <w:rFonts w:ascii="黑体" w:eastAsia="黑体" w:hAnsi="黑体" w:hint="eastAsia"/>
          <w:spacing w:val="8"/>
          <w:sz w:val="40"/>
          <w:szCs w:val="28"/>
        </w:rPr>
        <w:t>国务院关于优化科研管理提升科研绩效若干措施的通知</w:t>
      </w:r>
      <w:r w:rsidRPr="00DF666C">
        <w:rPr>
          <w:rFonts w:asciiTheme="minorEastAsia" w:eastAsiaTheme="minorEastAsia" w:hAnsiTheme="minorEastAsia" w:hint="eastAsia"/>
          <w:b/>
          <w:bCs/>
          <w:spacing w:val="8"/>
          <w:sz w:val="28"/>
          <w:szCs w:val="28"/>
        </w:rPr>
        <w:br/>
      </w:r>
      <w:r w:rsidRPr="00DF666C">
        <w:rPr>
          <w:rFonts w:asciiTheme="minorEastAsia" w:eastAsiaTheme="minorEastAsia" w:hAnsiTheme="minorEastAsia" w:hint="eastAsia"/>
          <w:spacing w:val="8"/>
          <w:sz w:val="28"/>
          <w:szCs w:val="28"/>
        </w:rPr>
        <w:t>国发〔2018〕25号</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各省、自治区、直辖市人民政府，国务院各部委、各直属机构：</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作出更大贡献，现就有关事项通知如下：</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w:t>
      </w:r>
      <w:r w:rsidRPr="00DF666C">
        <w:rPr>
          <w:rStyle w:val="a6"/>
          <w:rFonts w:asciiTheme="minorEastAsia" w:eastAsiaTheme="minorEastAsia" w:hAnsiTheme="minorEastAsia" w:hint="eastAsia"/>
          <w:spacing w:val="8"/>
          <w:sz w:val="28"/>
          <w:szCs w:val="28"/>
        </w:rPr>
        <w:t>一、优化科研项目和经费管理</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一）简化科研项目申报和过程管理。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二）合并财务验收和技术验收。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（三）推行“材料一次报送”制度。整合科技管理各项工作和计划管理的材料报送相关环节，实现一表多用。国家科技管理信息系统</w:t>
      </w:r>
      <w:r w:rsidRPr="00DF666C">
        <w:rPr>
          <w:rFonts w:asciiTheme="minorEastAsia" w:eastAsiaTheme="minorEastAsia" w:hAnsiTheme="minorEastAsia" w:hint="eastAsia"/>
          <w:spacing w:val="8"/>
          <w:sz w:val="28"/>
          <w:szCs w:val="28"/>
        </w:rPr>
        <w:lastRenderedPageBreak/>
        <w:t>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四）赋予科研人员更大技术路线决策权。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五）赋予科研单位科研项目经费管理使用自主权。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特事特办、随到随办的采购机制，可不进行招投标程序，缩短采购周期；对于独家代理或生产的仪器设备，按程序确定采取单一来源采购等方式增强采购灵活性和便利性。</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六）避免重复多头检查。科技部、财政部要会同相关部门加强科研项目监督检查工作统筹，制定统一的年度监督检查计划，在相对集中时间开展联合检查，避免在同一年度对同一项目重复检查、多头检查。探索实行“双随机、一公开”检查方式，充分利用大数据等信息技术提高监督检查效率，实行监督检查结果信息共享和互认，最大限度降低对科研活动的干扰。</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w:t>
      </w:r>
      <w:r w:rsidRPr="00DF666C">
        <w:rPr>
          <w:rStyle w:val="a6"/>
          <w:rFonts w:asciiTheme="minorEastAsia" w:eastAsiaTheme="minorEastAsia" w:hAnsiTheme="minorEastAsia" w:hint="eastAsia"/>
          <w:spacing w:val="8"/>
          <w:sz w:val="28"/>
          <w:szCs w:val="28"/>
        </w:rPr>
        <w:t xml:space="preserve">　二、完善有利于创新的评价激励制度</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（七）切实精简人才“帽子”。在中央人才工作协调小组的领导下，对科技领域人才计划进行优化整合。西部地区因政策倾斜获得人</w:t>
      </w:r>
      <w:r w:rsidRPr="00DF666C">
        <w:rPr>
          <w:rFonts w:asciiTheme="minorEastAsia" w:eastAsiaTheme="minorEastAsia" w:hAnsiTheme="minorEastAsia" w:hint="eastAsia"/>
          <w:spacing w:val="8"/>
          <w:sz w:val="28"/>
          <w:szCs w:val="28"/>
        </w:rPr>
        <w:lastRenderedPageBreak/>
        <w:t>才计划支持的科研人员，在支持周期内离开相关岗位的，取消对其相应支持。开展科技人才计划申报查重工作，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八）开展“唯论文、唯职称、唯学历”问题集中清理。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期限免评的制度。</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九）加大对承担国家关键领域核心技术攻关任务科研人员的薪酬激励。对全时全职承担任务的团队负责人（领衔科学家/首席科学家、技术总师、型号总师、总指挥、总负责人等）以及引进的高端人才，实行一项一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制具体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lastRenderedPageBreak/>
        <w:t xml:space="preserve">　　</w:t>
      </w:r>
      <w:r w:rsidRPr="00DF666C">
        <w:rPr>
          <w:rStyle w:val="a6"/>
          <w:rFonts w:asciiTheme="minorEastAsia" w:eastAsiaTheme="minorEastAsia" w:hAnsiTheme="minorEastAsia" w:hint="eastAsia"/>
          <w:spacing w:val="8"/>
          <w:sz w:val="28"/>
          <w:szCs w:val="28"/>
        </w:rPr>
        <w:t>三、强化科研项目绩效评价</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推动项目管理从重数量、重过程向重质量、重结果转变。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一）实行科研项目绩效分类评价。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二）严格依据任务书开展综合绩效评价。强化契约精神，严格按照任务书的约定逐项考核结果指标完成情况，对绩效目标实现程度作出明确结论，不得“走过场”，无正当理由不得延迟验收，应用研究和工程技术研究要突出技术指标刚性要求，严禁成果充抵等弄虚作假行为。突出代表性成果和项目实施效果评价，对提交评价的论文、专利等作出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三）加强绩效评价结果的应用。绩效评价结果应作为项目调整、后续支持的重要依据，以及相关研发、管理人员和项目承担单位、项目管理专业机构业绩考核的参考依据。对绩效评价优秀的，在后续项目支持、表彰奖励等工作中给予倾斜。要区分因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w:t>
      </w:r>
      <w:r w:rsidRPr="00DF666C">
        <w:rPr>
          <w:rStyle w:val="a6"/>
          <w:rFonts w:asciiTheme="minorEastAsia" w:eastAsiaTheme="minorEastAsia" w:hAnsiTheme="minorEastAsia" w:hint="eastAsia"/>
          <w:spacing w:val="8"/>
          <w:sz w:val="28"/>
          <w:szCs w:val="28"/>
        </w:rPr>
        <w:t>四、完善分级责任担当机制</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四）建立相关部门为高校和科研院所分担责任机制。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五）强化高校、科研院所和科研人员的主体责任。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六）完善鼓励法人担当负责的考核激励机制。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Style w:val="a6"/>
          <w:rFonts w:asciiTheme="minorEastAsia" w:eastAsiaTheme="minorEastAsia" w:hAnsiTheme="minorEastAsia" w:hint="eastAsia"/>
          <w:spacing w:val="8"/>
          <w:sz w:val="28"/>
          <w:szCs w:val="28"/>
        </w:rPr>
        <w:t xml:space="preserve">　　五、开展基于绩效、诚信和能力的科研管理改革试点</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科技部、财政部会同教育部、中科院在教育部直属高校和中科院所属科研院所中选择部分创新能力和潜力突出、创新绩效显著、科研诚信状况良好的单位开展支持力度更大的“绿色通道”改革试点。</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七）开展简化科研项目经费预算编制试点。项目直接费用中除设备费外，其他费用只提供基本测算说明，不提供明细。进一步精简合并其他直接费用科目。各项目管理专业机构要简化相关科研项目预算编制要求，精简说明和报表。</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八）开展扩大科研经费使用自主权试点。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十九）开展科研机构分类支持试点。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二十）开展赋予科研人员职务科技成果所有权或长期使用权试点。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rsidR="00DF666C" w:rsidRPr="00DF666C" w:rsidRDefault="00DF666C" w:rsidP="00DF666C">
      <w:pPr>
        <w:pStyle w:val="a5"/>
        <w:spacing w:before="0" w:beforeAutospacing="0" w:afterLines="30" w:after="93" w:afterAutospacing="0" w:line="440" w:lineRule="exact"/>
        <w:jc w:val="right"/>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国务院</w:t>
      </w:r>
    </w:p>
    <w:p w:rsidR="00DF666C" w:rsidRPr="00DF666C" w:rsidRDefault="00DF666C" w:rsidP="00DF666C">
      <w:pPr>
        <w:pStyle w:val="a5"/>
        <w:spacing w:before="0" w:beforeAutospacing="0" w:afterLines="30" w:after="93" w:afterAutospacing="0" w:line="440" w:lineRule="exact"/>
        <w:jc w:val="right"/>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2018年7月18日</w:t>
      </w:r>
    </w:p>
    <w:p w:rsidR="00DF666C" w:rsidRPr="00DF666C" w:rsidRDefault="00DF666C" w:rsidP="00DF666C">
      <w:pPr>
        <w:pStyle w:val="a5"/>
        <w:spacing w:before="0" w:beforeAutospacing="0" w:afterLines="30" w:after="93" w:afterAutospacing="0" w:line="440" w:lineRule="exact"/>
        <w:jc w:val="both"/>
        <w:rPr>
          <w:rFonts w:asciiTheme="minorEastAsia" w:eastAsiaTheme="minorEastAsia" w:hAnsiTheme="minorEastAsia"/>
          <w:spacing w:val="8"/>
          <w:sz w:val="28"/>
          <w:szCs w:val="28"/>
        </w:rPr>
      </w:pPr>
      <w:r w:rsidRPr="00DF666C">
        <w:rPr>
          <w:rFonts w:asciiTheme="minorEastAsia" w:eastAsiaTheme="minorEastAsia" w:hAnsiTheme="minorEastAsia" w:hint="eastAsia"/>
          <w:spacing w:val="8"/>
          <w:sz w:val="28"/>
          <w:szCs w:val="28"/>
        </w:rPr>
        <w:t xml:space="preserve">　　（此件公开发布）</w:t>
      </w:r>
    </w:p>
    <w:p w:rsidR="00806B91" w:rsidRPr="00DF666C" w:rsidRDefault="00806B91" w:rsidP="00DF666C">
      <w:pPr>
        <w:spacing w:afterLines="30" w:after="93" w:line="440" w:lineRule="exact"/>
        <w:rPr>
          <w:rFonts w:asciiTheme="minorEastAsia" w:hAnsiTheme="minorEastAsia"/>
          <w:sz w:val="28"/>
          <w:szCs w:val="28"/>
        </w:rPr>
      </w:pPr>
    </w:p>
    <w:sectPr w:rsidR="00806B91" w:rsidRPr="00DF666C" w:rsidSect="00DF666C">
      <w:footerReference w:type="default" r:id="rId6"/>
      <w:pgSz w:w="11906" w:h="16838" w:code="9"/>
      <w:pgMar w:top="1440" w:right="1531" w:bottom="1304" w:left="1531"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5B" w:rsidRDefault="00545D5B" w:rsidP="00DF666C">
      <w:r>
        <w:separator/>
      </w:r>
    </w:p>
  </w:endnote>
  <w:endnote w:type="continuationSeparator" w:id="0">
    <w:p w:rsidR="00545D5B" w:rsidRDefault="00545D5B" w:rsidP="00DF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1389"/>
      <w:docPartObj>
        <w:docPartGallery w:val="Page Numbers (Bottom of Page)"/>
        <w:docPartUnique/>
      </w:docPartObj>
    </w:sdtPr>
    <w:sdtEndPr>
      <w:rPr>
        <w:rFonts w:asciiTheme="minorEastAsia" w:hAnsiTheme="minorEastAsia"/>
        <w:sz w:val="22"/>
      </w:rPr>
    </w:sdtEndPr>
    <w:sdtContent>
      <w:p w:rsidR="00DF666C" w:rsidRPr="00DF666C" w:rsidRDefault="00DF666C" w:rsidP="00DF666C">
        <w:pPr>
          <w:pStyle w:val="a4"/>
          <w:jc w:val="center"/>
          <w:rPr>
            <w:rFonts w:asciiTheme="minorEastAsia" w:hAnsiTheme="minorEastAsia"/>
            <w:sz w:val="22"/>
          </w:rPr>
        </w:pPr>
        <w:r w:rsidRPr="00DF666C">
          <w:rPr>
            <w:rFonts w:asciiTheme="minorEastAsia" w:hAnsiTheme="minorEastAsia"/>
            <w:sz w:val="22"/>
          </w:rPr>
          <w:fldChar w:fldCharType="begin"/>
        </w:r>
        <w:r w:rsidRPr="00DF666C">
          <w:rPr>
            <w:rFonts w:asciiTheme="minorEastAsia" w:hAnsiTheme="minorEastAsia"/>
            <w:sz w:val="22"/>
          </w:rPr>
          <w:instrText>PAGE   \* MERGEFORMAT</w:instrText>
        </w:r>
        <w:r w:rsidRPr="00DF666C">
          <w:rPr>
            <w:rFonts w:asciiTheme="minorEastAsia" w:hAnsiTheme="minorEastAsia"/>
            <w:sz w:val="22"/>
          </w:rPr>
          <w:fldChar w:fldCharType="separate"/>
        </w:r>
        <w:r w:rsidR="007114B0" w:rsidRPr="007114B0">
          <w:rPr>
            <w:rFonts w:asciiTheme="minorEastAsia" w:hAnsiTheme="minorEastAsia"/>
            <w:noProof/>
            <w:sz w:val="22"/>
            <w:lang w:val="zh-CN"/>
          </w:rPr>
          <w:t>1</w:t>
        </w:r>
        <w:r w:rsidRPr="00DF666C">
          <w:rPr>
            <w:rFonts w:asciiTheme="minorEastAsia" w:hAnsiTheme="minorEastAsia"/>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5B" w:rsidRDefault="00545D5B" w:rsidP="00DF666C">
      <w:r>
        <w:separator/>
      </w:r>
    </w:p>
  </w:footnote>
  <w:footnote w:type="continuationSeparator" w:id="0">
    <w:p w:rsidR="00545D5B" w:rsidRDefault="00545D5B" w:rsidP="00DF6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EB"/>
    <w:rsid w:val="00545D5B"/>
    <w:rsid w:val="007114B0"/>
    <w:rsid w:val="007F77EB"/>
    <w:rsid w:val="00806B91"/>
    <w:rsid w:val="00BD5433"/>
    <w:rsid w:val="00DF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8B71298-D430-4ADE-960A-8D03F0AE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66C"/>
    <w:rPr>
      <w:sz w:val="18"/>
      <w:szCs w:val="18"/>
    </w:rPr>
  </w:style>
  <w:style w:type="paragraph" w:styleId="a4">
    <w:name w:val="footer"/>
    <w:basedOn w:val="a"/>
    <w:link w:val="Char0"/>
    <w:uiPriority w:val="99"/>
    <w:unhideWhenUsed/>
    <w:rsid w:val="00DF666C"/>
    <w:pPr>
      <w:tabs>
        <w:tab w:val="center" w:pos="4153"/>
        <w:tab w:val="right" w:pos="8306"/>
      </w:tabs>
      <w:snapToGrid w:val="0"/>
      <w:jc w:val="left"/>
    </w:pPr>
    <w:rPr>
      <w:sz w:val="18"/>
      <w:szCs w:val="18"/>
    </w:rPr>
  </w:style>
  <w:style w:type="character" w:customStyle="1" w:styleId="Char0">
    <w:name w:val="页脚 Char"/>
    <w:basedOn w:val="a0"/>
    <w:link w:val="a4"/>
    <w:uiPriority w:val="99"/>
    <w:rsid w:val="00DF666C"/>
    <w:rPr>
      <w:sz w:val="18"/>
      <w:szCs w:val="18"/>
    </w:rPr>
  </w:style>
  <w:style w:type="paragraph" w:styleId="a5">
    <w:name w:val="Normal (Web)"/>
    <w:basedOn w:val="a"/>
    <w:uiPriority w:val="99"/>
    <w:semiHidden/>
    <w:unhideWhenUsed/>
    <w:rsid w:val="00DF66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F6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8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797</Words>
  <Characters>4544</Characters>
  <Application>Microsoft Office Word</Application>
  <DocSecurity>4</DocSecurity>
  <Lines>37</Lines>
  <Paragraphs>10</Paragraphs>
  <ScaleCrop>false</ScaleCrop>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jinxin</dc:creator>
  <cp:keywords/>
  <dc:description/>
  <cp:lastModifiedBy>AutoBVT</cp:lastModifiedBy>
  <cp:revision>2</cp:revision>
  <dcterms:created xsi:type="dcterms:W3CDTF">2019-03-15T03:39:00Z</dcterms:created>
  <dcterms:modified xsi:type="dcterms:W3CDTF">2019-03-15T03:39:00Z</dcterms:modified>
</cp:coreProperties>
</file>